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eastAsia="宋体" w:cs="Times New Roman"/>
          <w:bCs/>
          <w:color w:val="auto"/>
          <w:sz w:val="36"/>
          <w:szCs w:val="36"/>
          <w:highlight w:val="none"/>
          <w:lang w:eastAsia="zh-CN" w:bidi="en-US"/>
        </w:rPr>
      </w:pPr>
      <w:bookmarkStart w:id="0" w:name="_Toc4880"/>
      <w:bookmarkStart w:id="1" w:name="_Toc16604"/>
      <w:bookmarkStart w:id="2" w:name="_Toc3842"/>
      <w:r>
        <w:rPr>
          <w:rFonts w:hint="eastAsia" w:ascii="宋体" w:hAnsi="宋体" w:eastAsia="宋体" w:cs="宋体"/>
          <w:b/>
          <w:bCs w:val="0"/>
          <w:color w:val="auto"/>
          <w:sz w:val="36"/>
          <w:szCs w:val="36"/>
          <w:highlight w:val="none"/>
          <w:lang w:eastAsia="zh-CN" w:bidi="en-US"/>
        </w:rPr>
        <w:t>北京市海淀区功德寺棚户区改造项目HD-GDS-001地块R2二类居住用地</w:t>
      </w:r>
    </w:p>
    <w:p>
      <w:pPr>
        <w:pStyle w:val="3"/>
        <w:spacing w:before="62" w:beforeLines="20" w:after="62" w:afterLines="20" w:line="240" w:lineRule="auto"/>
        <w:jc w:val="center"/>
        <w:rPr>
          <w:rFonts w:hint="default" w:ascii="Times New Roman" w:hAnsi="Times New Roman" w:eastAsia="宋体" w:cs="Times New Roman"/>
          <w:b w:val="0"/>
          <w:bCs w:val="0"/>
          <w:color w:val="auto"/>
          <w:sz w:val="36"/>
          <w:szCs w:val="36"/>
          <w:highlight w:val="none"/>
        </w:rPr>
      </w:pPr>
      <w:bookmarkStart w:id="3" w:name="_Toc15859"/>
      <w:r>
        <w:rPr>
          <w:rFonts w:hint="default" w:ascii="Times New Roman" w:hAnsi="Times New Roman" w:eastAsia="宋体" w:cs="Times New Roman"/>
          <w:b/>
          <w:bCs/>
          <w:color w:val="auto"/>
          <w:sz w:val="36"/>
          <w:szCs w:val="36"/>
          <w:highlight w:val="none"/>
          <w:lang w:eastAsia="zh-CN" w:bidi="en-US"/>
        </w:rPr>
        <w:t>国有建设用地使用权</w:t>
      </w:r>
      <w:bookmarkStart w:id="4" w:name="_Toc41366853"/>
      <w:bookmarkStart w:id="5" w:name="_Toc41366787"/>
      <w:r>
        <w:rPr>
          <w:rFonts w:hint="default" w:ascii="Times New Roman" w:hAnsi="Times New Roman" w:eastAsia="宋体" w:cs="Times New Roman"/>
          <w:b/>
          <w:bCs/>
          <w:color w:val="auto"/>
          <w:sz w:val="36"/>
          <w:szCs w:val="36"/>
          <w:highlight w:val="none"/>
          <w:lang w:eastAsia="zh-CN" w:bidi="en-US"/>
        </w:rPr>
        <w:t>挂牌</w:t>
      </w:r>
      <w:bookmarkStart w:id="6" w:name="_Toc11484"/>
      <w:r>
        <w:rPr>
          <w:rFonts w:hint="default" w:ascii="Times New Roman" w:hAnsi="Times New Roman" w:eastAsia="宋体" w:cs="Times New Roman"/>
          <w:b/>
          <w:bCs/>
          <w:color w:val="auto"/>
          <w:sz w:val="36"/>
          <w:szCs w:val="36"/>
          <w:highlight w:val="none"/>
          <w:lang w:eastAsia="zh-CN" w:bidi="en-US"/>
        </w:rPr>
        <w:t>出让公告</w:t>
      </w:r>
      <w:bookmarkEnd w:id="0"/>
      <w:bookmarkEnd w:id="1"/>
      <w:bookmarkEnd w:id="2"/>
      <w:bookmarkEnd w:id="3"/>
      <w:bookmarkEnd w:id="4"/>
      <w:bookmarkEnd w:id="5"/>
      <w:bookmarkEnd w:id="6"/>
    </w:p>
    <w:p>
      <w:pPr>
        <w:spacing w:line="240" w:lineRule="auto"/>
        <w:rPr>
          <w:rFonts w:hint="default" w:ascii="Times New Roman" w:hAnsi="Times New Roman" w:cs="Times New Roman"/>
          <w:color w:val="auto"/>
          <w:highlight w:val="none"/>
        </w:rPr>
      </w:pP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根据国家和北京市的相关规定，经北京市人民政府批准，北京市规划和自然资源委员会决定</w:t>
      </w:r>
      <w:r>
        <w:rPr>
          <w:rFonts w:hint="default" w:ascii="Times New Roman" w:hAnsi="Times New Roman" w:eastAsia="仿宋_GB2312" w:cs="Times New Roman"/>
          <w:color w:val="auto"/>
          <w:sz w:val="28"/>
          <w:highlight w:val="none"/>
          <w:lang w:val="en-US" w:eastAsia="zh-CN"/>
        </w:rPr>
        <w:t>在</w:t>
      </w:r>
      <w:r>
        <w:rPr>
          <w:rFonts w:hint="default" w:ascii="Times New Roman" w:hAnsi="Times New Roman" w:eastAsia="仿宋_GB2312" w:cs="Times New Roman"/>
          <w:color w:val="auto"/>
          <w:kern w:val="2"/>
          <w:sz w:val="28"/>
          <w:szCs w:val="24"/>
          <w:highlight w:val="none"/>
          <w:lang w:val="en-US" w:eastAsia="zh-CN" w:bidi="ar-SA"/>
        </w:rPr>
        <w:t>北京市丰台区西三环南路1号</w:t>
      </w:r>
      <w:r>
        <w:rPr>
          <w:rFonts w:hint="default" w:ascii="Times New Roman" w:hAnsi="Times New Roman" w:eastAsia="仿宋_GB2312" w:cs="Times New Roman"/>
          <w:color w:val="auto"/>
          <w:sz w:val="28"/>
          <w:highlight w:val="none"/>
        </w:rPr>
        <w:t>市公共资源交易综合分平台五层</w:t>
      </w:r>
      <w:r>
        <w:rPr>
          <w:rFonts w:hint="default" w:ascii="Times New Roman" w:hAnsi="Times New Roman" w:eastAsia="仿宋_GB2312" w:cs="Times New Roman"/>
          <w:color w:val="auto"/>
          <w:kern w:val="2"/>
          <w:sz w:val="28"/>
          <w:szCs w:val="24"/>
          <w:highlight w:val="none"/>
          <w:lang w:val="en-US" w:eastAsia="zh-CN" w:bidi="ar-SA"/>
        </w:rPr>
        <w:t>，</w:t>
      </w:r>
      <w:r>
        <w:rPr>
          <w:rFonts w:hint="default" w:ascii="Times New Roman" w:hAnsi="Times New Roman" w:eastAsia="仿宋_GB2312" w:cs="Times New Roman"/>
          <w:color w:val="auto"/>
          <w:sz w:val="28"/>
          <w:highlight w:val="none"/>
        </w:rPr>
        <w:t>公开挂牌出让</w:t>
      </w:r>
      <w:r>
        <w:rPr>
          <w:rFonts w:hint="default" w:ascii="Times New Roman" w:hAnsi="Times New Roman" w:eastAsia="仿宋_GB2312" w:cs="Times New Roman"/>
          <w:color w:val="auto"/>
          <w:sz w:val="28"/>
          <w:highlight w:val="none"/>
          <w:lang w:eastAsia="zh-CN"/>
        </w:rPr>
        <w:t>北京市海淀区功德寺棚户区改造项目HD-GDS-001地块R2二类居住用地</w:t>
      </w:r>
      <w:r>
        <w:rPr>
          <w:rFonts w:hint="default" w:ascii="Times New Roman" w:hAnsi="Times New Roman" w:eastAsia="仿宋_GB2312" w:cs="Times New Roman"/>
          <w:color w:val="auto"/>
          <w:sz w:val="28"/>
          <w:highlight w:val="none"/>
        </w:rPr>
        <w:t>国有建设用地使用权。北京市公共资源交易中心负责本次挂牌出让的组织和实施工作</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本次挂牌出让宗地位于海淀区西北旺镇马连洼地区。四至范围详见《“多规合一”协同平台供地审核意见函》（京规自（海）供审函[2024]0005号）及其附图。</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该宗地将以“</w:t>
      </w:r>
      <w:r>
        <w:rPr>
          <w:rFonts w:hint="eastAsia"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lang w:eastAsia="zh-CN"/>
        </w:rPr>
        <w:t>通一平</w:t>
      </w:r>
      <w:r>
        <w:rPr>
          <w:rFonts w:hint="default" w:ascii="Times New Roman" w:hAnsi="Times New Roman" w:eastAsia="仿宋_GB2312" w:cs="Times New Roman"/>
          <w:color w:val="auto"/>
          <w:sz w:val="28"/>
          <w:highlight w:val="none"/>
        </w:rPr>
        <w:t>”形式供地。规划经济技术指标如下表：</w:t>
      </w:r>
    </w:p>
    <w:tbl>
      <w:tblPr>
        <w:tblStyle w:val="7"/>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348"/>
        <w:gridCol w:w="1466"/>
        <w:gridCol w:w="178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atLeast"/>
          <w:jc w:val="center"/>
        </w:trPr>
        <w:tc>
          <w:tcPr>
            <w:tcW w:w="1680"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挂牌编号</w:t>
            </w:r>
          </w:p>
        </w:tc>
        <w:tc>
          <w:tcPr>
            <w:tcW w:w="2348" w:type="dxa"/>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highlight w:val="none"/>
              </w:rPr>
            </w:pPr>
            <w:r>
              <w:rPr>
                <w:rFonts w:hint="default" w:ascii="Times New Roman" w:hAnsi="Times New Roman" w:eastAsia="仿宋_GB2312" w:cs="Times New Roman"/>
                <w:color w:val="auto"/>
                <w:spacing w:val="0"/>
                <w:sz w:val="24"/>
                <w:highlight w:val="none"/>
              </w:rPr>
              <w:t>用地性质</w:t>
            </w:r>
          </w:p>
        </w:tc>
        <w:tc>
          <w:tcPr>
            <w:tcW w:w="1466"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出让年限</w:t>
            </w:r>
          </w:p>
        </w:tc>
        <w:tc>
          <w:tcPr>
            <w:tcW w:w="1787" w:type="dxa"/>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eastAsia="zh-CN"/>
              </w:rPr>
              <w:t>用地规模</w:t>
            </w:r>
          </w:p>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eastAsia" w:ascii="Times New Roman" w:hAnsi="Times New Roman" w:eastAsia="仿宋_GB2312" w:cs="Times New Roman"/>
                <w:color w:val="auto"/>
                <w:spacing w:val="-4"/>
                <w:sz w:val="24"/>
                <w:highlight w:val="none"/>
                <w:lang w:eastAsia="zh-CN"/>
              </w:rPr>
              <w:t>）</w:t>
            </w:r>
          </w:p>
        </w:tc>
        <w:tc>
          <w:tcPr>
            <w:tcW w:w="1739"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pacing w:val="-4"/>
                <w:sz w:val="24"/>
                <w:highlight w:val="none"/>
                <w:lang w:val="en-US" w:eastAsia="zh-CN"/>
              </w:rPr>
              <w:t>地上建筑</w:t>
            </w:r>
            <w:r>
              <w:rPr>
                <w:rFonts w:hint="default" w:ascii="Times New Roman" w:hAnsi="Times New Roman" w:eastAsia="仿宋_GB2312" w:cs="Times New Roman"/>
                <w:color w:val="auto"/>
                <w:spacing w:val="-4"/>
                <w:sz w:val="24"/>
                <w:highlight w:val="none"/>
              </w:rPr>
              <w:t>规模</w:t>
            </w:r>
            <w:r>
              <w:rPr>
                <w:rFonts w:hint="default" w:ascii="Times New Roman" w:hAnsi="Times New Roman" w:eastAsia="仿宋_GB2312" w:cs="Times New Roman"/>
                <w:color w:val="auto"/>
                <w:spacing w:val="-4"/>
                <w:sz w:val="24"/>
                <w:highlight w:val="none"/>
              </w:rPr>
              <w:br w:type="textWrapping"/>
            </w:r>
            <w:r>
              <w:rPr>
                <w:rFonts w:hint="eastAsia"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eastAsia" w:ascii="Times New Roman" w:hAnsi="Times New Roman" w:eastAsia="仿宋_GB2312" w:cs="Times New Roman"/>
                <w:color w:val="auto"/>
                <w:spacing w:val="-4"/>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8" w:hRule="atLeast"/>
          <w:jc w:val="center"/>
        </w:trPr>
        <w:tc>
          <w:tcPr>
            <w:tcW w:w="1680" w:type="dxa"/>
            <w:vAlign w:val="center"/>
          </w:tcPr>
          <w:p>
            <w:pPr>
              <w:pStyle w:val="2"/>
              <w:spacing w:line="240" w:lineRule="auto"/>
              <w:ind w:left="-20" w:leftChars="-10" w:hanging="1" w:firstLineChars="0"/>
              <w:jc w:val="center"/>
              <w:rPr>
                <w:rFonts w:hint="default" w:ascii="Times New Roman" w:hAnsi="Times New Roman" w:eastAsia="仿宋_GB2312" w:cs="Times New Roman"/>
                <w:color w:val="auto"/>
                <w:spacing w:val="-4"/>
                <w:sz w:val="24"/>
                <w:szCs w:val="24"/>
                <w:highlight w:val="none"/>
                <w:lang w:eastAsia="zh-CN"/>
              </w:rPr>
            </w:pPr>
            <w:r>
              <w:rPr>
                <w:rFonts w:hint="default" w:ascii="Times New Roman" w:hAnsi="Times New Roman" w:eastAsia="仿宋_GB2312" w:cs="Times New Roman"/>
                <w:color w:val="auto"/>
                <w:spacing w:val="-4"/>
                <w:sz w:val="24"/>
                <w:szCs w:val="24"/>
                <w:highlight w:val="none"/>
                <w:lang w:eastAsia="zh-CN"/>
              </w:rPr>
              <w:t>京土储挂（</w:t>
            </w:r>
            <w:r>
              <w:rPr>
                <w:rFonts w:hint="eastAsia" w:ascii="Times New Roman" w:hAnsi="Times New Roman" w:eastAsia="仿宋_GB2312" w:cs="Times New Roman"/>
                <w:color w:val="auto"/>
                <w:spacing w:val="-4"/>
                <w:sz w:val="24"/>
                <w:szCs w:val="24"/>
                <w:highlight w:val="none"/>
                <w:lang w:eastAsia="zh-CN"/>
              </w:rPr>
              <w:t>海</w:t>
            </w:r>
            <w:r>
              <w:rPr>
                <w:rFonts w:hint="default" w:ascii="Times New Roman" w:hAnsi="Times New Roman" w:eastAsia="仿宋_GB2312" w:cs="Times New Roman"/>
                <w:color w:val="auto"/>
                <w:spacing w:val="-4"/>
                <w:sz w:val="24"/>
                <w:szCs w:val="24"/>
                <w:highlight w:val="none"/>
                <w:lang w:eastAsia="zh-CN"/>
              </w:rPr>
              <w:t>）[2024]0</w:t>
            </w:r>
            <w:r>
              <w:rPr>
                <w:rFonts w:hint="eastAsia" w:ascii="Times New Roman" w:hAnsi="Times New Roman" w:eastAsia="仿宋_GB2312" w:cs="Times New Roman"/>
                <w:color w:val="auto"/>
                <w:spacing w:val="-4"/>
                <w:sz w:val="24"/>
                <w:szCs w:val="24"/>
                <w:highlight w:val="none"/>
                <w:lang w:val="en-US" w:eastAsia="zh-CN"/>
              </w:rPr>
              <w:t>4</w:t>
            </w:r>
            <w:r>
              <w:rPr>
                <w:rFonts w:hint="eastAsia" w:eastAsia="仿宋_GB2312" w:cs="Times New Roman"/>
                <w:color w:val="auto"/>
                <w:spacing w:val="-4"/>
                <w:sz w:val="24"/>
                <w:szCs w:val="24"/>
                <w:highlight w:val="none"/>
                <w:lang w:val="en-US" w:eastAsia="zh-CN"/>
              </w:rPr>
              <w:t>3</w:t>
            </w:r>
            <w:bookmarkStart w:id="7" w:name="_GoBack"/>
            <w:bookmarkEnd w:id="7"/>
            <w:r>
              <w:rPr>
                <w:rFonts w:hint="default" w:ascii="Times New Roman" w:hAnsi="Times New Roman" w:eastAsia="仿宋_GB2312" w:cs="Times New Roman"/>
                <w:color w:val="auto"/>
                <w:spacing w:val="-4"/>
                <w:sz w:val="24"/>
                <w:szCs w:val="24"/>
                <w:highlight w:val="none"/>
                <w:lang w:eastAsia="zh-CN"/>
              </w:rPr>
              <w:t>号</w:t>
            </w:r>
          </w:p>
        </w:tc>
        <w:tc>
          <w:tcPr>
            <w:tcW w:w="2348" w:type="dxa"/>
            <w:vAlign w:val="center"/>
          </w:tcPr>
          <w:p>
            <w:pPr>
              <w:spacing w:line="24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R2二类居住用地</w:t>
            </w:r>
          </w:p>
        </w:tc>
        <w:tc>
          <w:tcPr>
            <w:tcW w:w="1466" w:type="dxa"/>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商业40年</w:t>
            </w:r>
          </w:p>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办公50年</w:t>
            </w:r>
          </w:p>
        </w:tc>
        <w:tc>
          <w:tcPr>
            <w:tcW w:w="1787" w:type="dxa"/>
            <w:vAlign w:val="center"/>
          </w:tcPr>
          <w:p>
            <w:pPr>
              <w:spacing w:line="240" w:lineRule="auto"/>
              <w:jc w:val="center"/>
              <w:rPr>
                <w:rFonts w:hint="default" w:ascii="Times New Roman" w:hAnsi="Times New Roman" w:eastAsia="仿宋_GB2312" w:cs="Times New Roman"/>
                <w:color w:val="auto"/>
                <w:sz w:val="24"/>
                <w:highlight w:val="none"/>
                <w:lang w:val="en-US"/>
              </w:rPr>
            </w:pPr>
            <w:r>
              <w:rPr>
                <w:rFonts w:hint="default" w:eastAsia="仿宋_GB2312" w:cs="Times New Roman"/>
                <w:color w:val="auto"/>
                <w:sz w:val="24"/>
                <w:lang w:val="en-US" w:eastAsia="zh-CN"/>
              </w:rPr>
              <w:t>34678.62</w:t>
            </w:r>
          </w:p>
        </w:tc>
        <w:tc>
          <w:tcPr>
            <w:tcW w:w="1739" w:type="dxa"/>
            <w:vAlign w:val="center"/>
          </w:tcPr>
          <w:p>
            <w:pPr>
              <w:spacing w:line="240" w:lineRule="auto"/>
              <w:jc w:val="center"/>
              <w:rPr>
                <w:rFonts w:hint="default" w:ascii="Times New Roman" w:hAnsi="Times New Roman" w:eastAsia="仿宋_GB2312" w:cs="Times New Roman"/>
                <w:color w:val="auto"/>
                <w:sz w:val="24"/>
                <w:highlight w:val="none"/>
                <w:lang w:val="en-US" w:eastAsia="zh-CN"/>
              </w:rPr>
            </w:pPr>
            <w:r>
              <w:rPr>
                <w:rFonts w:hint="eastAsia" w:eastAsia="仿宋_GB2312" w:cs="Times New Roman"/>
                <w:color w:val="auto"/>
                <w:sz w:val="24"/>
                <w:lang w:val="en-US" w:eastAsia="zh-CN"/>
              </w:rPr>
              <w:t>72825.102</w:t>
            </w:r>
          </w:p>
        </w:tc>
      </w:tr>
    </w:tbl>
    <w:p>
      <w:pPr>
        <w:keepNext w:val="0"/>
        <w:keepLines w:val="0"/>
        <w:pageBreakBefore w:val="0"/>
        <w:widowControl w:val="0"/>
        <w:kinsoku/>
        <w:wordWrap/>
        <w:overflowPunct/>
        <w:topLinePunct w:val="0"/>
        <w:autoSpaceDE/>
        <w:autoSpaceDN/>
        <w:bidi w:val="0"/>
        <w:adjustRightInd/>
        <w:snapToGrid/>
        <w:spacing w:beforeLines="0" w:afterLines="0" w:line="240" w:lineRule="auto"/>
        <w:ind w:firstLine="560" w:firstLineChars="200"/>
        <w:textAlignment w:val="auto"/>
        <w:outlineLvl w:val="9"/>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二、挂牌出让起始价为人民币</w:t>
      </w:r>
      <w:r>
        <w:rPr>
          <w:rFonts w:hint="eastAsia" w:ascii="Times New Roman" w:hAnsi="Times New Roman" w:eastAsia="仿宋_GB2312" w:cs="Times New Roman"/>
          <w:color w:val="auto"/>
          <w:sz w:val="28"/>
          <w:highlight w:val="none"/>
          <w:lang w:val="en-US" w:eastAsia="zh-CN"/>
        </w:rPr>
        <w:t>450000</w:t>
      </w:r>
      <w:r>
        <w:rPr>
          <w:rFonts w:hint="default" w:ascii="Times New Roman" w:hAnsi="Times New Roman" w:eastAsia="仿宋_GB2312" w:cs="Times New Roman"/>
          <w:color w:val="auto"/>
          <w:sz w:val="28"/>
          <w:highlight w:val="none"/>
        </w:rPr>
        <w:t xml:space="preserve">万元，竞价阶梯为人民币   </w:t>
      </w:r>
      <w:r>
        <w:rPr>
          <w:rFonts w:hint="eastAsia" w:ascii="Times New Roman" w:hAnsi="Times New Roman" w:eastAsia="仿宋_GB2312" w:cs="Times New Roman"/>
          <w:color w:val="auto"/>
          <w:sz w:val="28"/>
          <w:highlight w:val="none"/>
          <w:lang w:val="en-US" w:eastAsia="zh-CN"/>
        </w:rPr>
        <w:t>450</w:t>
      </w:r>
      <w:r>
        <w:rPr>
          <w:rFonts w:hint="default" w:ascii="Times New Roman" w:hAnsi="Times New Roman" w:eastAsia="仿宋_GB2312" w:cs="Times New Roman"/>
          <w:color w:val="auto"/>
          <w:sz w:val="28"/>
          <w:highlight w:val="none"/>
        </w:rPr>
        <w:t>万元整，竞买保证金为人民币</w:t>
      </w:r>
      <w:r>
        <w:rPr>
          <w:rFonts w:hint="eastAsia" w:ascii="Times New Roman" w:hAnsi="Times New Roman" w:eastAsia="仿宋_GB2312" w:cs="Times New Roman"/>
          <w:color w:val="auto"/>
          <w:sz w:val="28"/>
          <w:highlight w:val="none"/>
          <w:lang w:val="en-US" w:eastAsia="zh-CN"/>
        </w:rPr>
        <w:t>90</w:t>
      </w:r>
      <w:r>
        <w:rPr>
          <w:rFonts w:hint="default" w:ascii="Times New Roman" w:hAnsi="Times New Roman" w:eastAsia="仿宋_GB2312" w:cs="Times New Roman"/>
          <w:color w:val="auto"/>
          <w:sz w:val="28"/>
          <w:highlight w:val="none"/>
        </w:rPr>
        <w:t>000万元。</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宗地进入现场摇号环节后，同一集团成员企业仅可有一家参与该宗地的摇号，对于多家成员企业同时报名参与摇号的，以企业缴纳保证金（预申请保证金、竞买保证金）到账时间的先后顺序确定摇号资格。联合竞买的，同一集团成员企业仅可组成一个联合体参与同一宗地摇号。同一集团成员企业包括但不限于：与集团公司存在关联关系的公司</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eastAsia="zh-CN"/>
        </w:rPr>
        <w:t>含全资公司、控股公司</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eastAsia="zh-CN"/>
        </w:rPr>
        <w:t>。</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四、本次挂牌出让宗地设定土地合理上限价格</w:t>
      </w:r>
      <w:r>
        <w:rPr>
          <w:rFonts w:hint="default" w:ascii="Times New Roman" w:hAnsi="Times New Roman" w:eastAsia="仿宋_GB2312" w:cs="Times New Roman"/>
          <w:color w:val="auto"/>
          <w:sz w:val="28"/>
          <w:highlight w:val="none"/>
          <w:lang w:val="en-US" w:eastAsia="zh-CN"/>
        </w:rPr>
        <w:t>517500</w:t>
      </w:r>
      <w:r>
        <w:rPr>
          <w:rFonts w:hint="default" w:ascii="Times New Roman" w:hAnsi="Times New Roman" w:eastAsia="仿宋_GB2312" w:cs="Times New Roman"/>
          <w:color w:val="auto"/>
          <w:sz w:val="28"/>
          <w:highlight w:val="none"/>
        </w:rPr>
        <w:t>万元，当竞买报价达到土地合理上限价格时，则不再接受更高报价，转为现场摇号方式确定竞得人，参与现场摇号的竞买人须提交《高标准住宅建设承诺书》。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五、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 xml:space="preserve">在宗地竞买期限内要求撤回其竞买报价的; </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未遵守本出让交易文件的其他有关规定的。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、本次挂牌出让竞买申请起始时间为2024年</w:t>
      </w:r>
      <w:r>
        <w:rPr>
          <w:rFonts w:hint="eastAsia"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rPr>
        <w:t>月</w:t>
      </w:r>
      <w:r>
        <w:rPr>
          <w:rFonts w:hint="eastAsia" w:ascii="Times New Roman" w:hAnsi="Times New Roman" w:eastAsia="仿宋_GB2312" w:cs="Times New Roman"/>
          <w:color w:val="auto"/>
          <w:sz w:val="28"/>
          <w:highlight w:val="none"/>
          <w:lang w:val="en-US" w:eastAsia="zh-CN"/>
        </w:rPr>
        <w:t>30</w:t>
      </w:r>
      <w:r>
        <w:rPr>
          <w:rFonts w:hint="default" w:ascii="Times New Roman" w:hAnsi="Times New Roman" w:eastAsia="仿宋_GB2312" w:cs="Times New Roman"/>
          <w:color w:val="auto"/>
          <w:sz w:val="28"/>
          <w:highlight w:val="none"/>
        </w:rPr>
        <w:t>日9：00时起，竞买申请截止时间为2024年</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月</w:t>
      </w:r>
      <w:r>
        <w:rPr>
          <w:rFonts w:hint="eastAsia"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rPr>
        <w:t>日17：00时止；挂牌竞价起始时间为2024年</w:t>
      </w:r>
      <w:r>
        <w:rPr>
          <w:rFonts w:hint="eastAsia" w:ascii="Times New Roman" w:hAnsi="Times New Roman"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rPr>
        <w:t>月</w:t>
      </w:r>
      <w:r>
        <w:rPr>
          <w:rFonts w:hint="eastAsia" w:ascii="Times New Roman" w:hAnsi="Times New Roman" w:eastAsia="仿宋_GB2312" w:cs="Times New Roman"/>
          <w:color w:val="auto"/>
          <w:sz w:val="28"/>
          <w:highlight w:val="none"/>
          <w:lang w:val="en-US" w:eastAsia="zh-CN"/>
        </w:rPr>
        <w:t>22</w:t>
      </w:r>
      <w:r>
        <w:rPr>
          <w:rFonts w:hint="default" w:ascii="Times New Roman" w:hAnsi="Times New Roman" w:eastAsia="仿宋_GB2312" w:cs="Times New Roman"/>
          <w:color w:val="auto"/>
          <w:sz w:val="28"/>
          <w:highlight w:val="none"/>
        </w:rPr>
        <w:t>日9：00时起，挂牌竞价截止时间为2024年</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月</w:t>
      </w:r>
      <w:r>
        <w:rPr>
          <w:rFonts w:hint="eastAsia"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rPr>
        <w:t>日15：00时止。</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、本次挂牌不接受电话、邮寄及口头报价。</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、本次挂牌出让的详细资料和竞买要求请参阅有关挂牌文件。挂牌文件于202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30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9:00起，可在北京市规划和自然资源委员会网站（http://ghzrzyw.beijing.gov.cn）</w:t>
      </w:r>
      <w:r>
        <w:rPr>
          <w:rFonts w:hint="default" w:ascii="Times New Roman" w:hAnsi="Times New Roman" w:eastAsia="仿宋_GB2312" w:cs="Times New Roman"/>
          <w:color w:val="auto"/>
          <w:sz w:val="28"/>
          <w:highlight w:val="none"/>
          <w:lang w:eastAsia="zh-CN"/>
        </w:rPr>
        <w:t>或北京市公共资源交易服务平台网站（</w:t>
      </w:r>
      <w:r>
        <w:rPr>
          <w:rFonts w:hint="default" w:ascii="Times New Roman" w:hAnsi="Times New Roman" w:eastAsia="仿宋_GB2312" w:cs="Times New Roman"/>
          <w:color w:val="auto"/>
          <w:sz w:val="28"/>
          <w:highlight w:val="none"/>
        </w:rPr>
        <w:t>http://g</w:t>
      </w:r>
      <w:r>
        <w:rPr>
          <w:rFonts w:hint="default" w:ascii="Times New Roman" w:hAnsi="Times New Roman" w:eastAsia="仿宋_GB2312" w:cs="Times New Roman"/>
          <w:color w:val="auto"/>
          <w:sz w:val="28"/>
          <w:highlight w:val="none"/>
          <w:lang w:val="en-US" w:eastAsia="zh-CN"/>
        </w:rPr>
        <w:t>gzyf</w:t>
      </w:r>
      <w:r>
        <w:rPr>
          <w:rFonts w:hint="default" w:ascii="Times New Roman" w:hAnsi="Times New Roman" w:eastAsia="仿宋_GB2312" w:cs="Times New Roman"/>
          <w:color w:val="auto"/>
          <w:sz w:val="28"/>
          <w:highlight w:val="none"/>
        </w:rPr>
        <w:t>w.beijing.gov.cn</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竞买人提交的《房屋售价承诺书》涉及的商品房销售均价，可向北京市住房和城乡建设委员会电话咨询，时间202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30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rPr>
        <w:t>日，每工作日上午9:30-12:00，下午14:30-17:00，电话：010-55597352、010-55597351。</w:t>
      </w:r>
    </w:p>
    <w:p>
      <w:pPr>
        <w:spacing w:before="0" w:beforeLines="0" w:after="0" w:afterLines="0"/>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十一、联系方式</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联系方式（项目咨询）：010-55595198、55595</w:t>
      </w:r>
      <w:r>
        <w:rPr>
          <w:rFonts w:hint="eastAsia" w:ascii="Times New Roman" w:hAnsi="Times New Roman" w:eastAsia="仿宋_GB2312" w:cs="Times New Roman"/>
          <w:color w:val="auto"/>
          <w:sz w:val="28"/>
          <w:highlight w:val="none"/>
          <w:lang w:val="en-US" w:eastAsia="zh-CN"/>
        </w:rPr>
        <w:t>193</w:t>
      </w:r>
    </w:p>
    <w:p>
      <w:pPr>
        <w:pStyle w:val="4"/>
        <w:spacing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联系方式（竞买保证金事宜咨询）：010-55595170</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kern w:val="2"/>
          <w:sz w:val="28"/>
          <w:szCs w:val="24"/>
          <w:highlight w:val="none"/>
          <w:lang w:val="en-US" w:eastAsia="zh-CN" w:bidi="ar-SA"/>
        </w:rPr>
        <w:t>联系方式（出让合同签订）：010-55595262；55595359</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地址：北京市西三环南路1号北京市政务服务中心5层</w:t>
      </w:r>
    </w:p>
    <w:p>
      <w:pPr>
        <w:spacing w:beforeLines="0" w:afterLines="0" w:line="240" w:lineRule="auto"/>
        <w:ind w:right="0" w:firstLine="560" w:firstLineChars="200"/>
        <w:jc w:val="left"/>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（三）北京市海淀区规划和自然资源综合事务中心</w:t>
      </w:r>
    </w:p>
    <w:p>
      <w:pPr>
        <w:spacing w:beforeLines="0" w:afterLines="0" w:line="240" w:lineRule="auto"/>
        <w:ind w:right="0" w:firstLine="560" w:firstLineChars="200"/>
        <w:jc w:val="left"/>
        <w:rPr>
          <w:rFonts w:hint="default" w:ascii="Times New Roman" w:hAnsi="Times New Roman" w:eastAsia="仿宋_GB2312" w:cs="Times New Roman"/>
          <w:color w:val="auto"/>
          <w:kern w:val="2"/>
          <w:sz w:val="28"/>
          <w:szCs w:val="24"/>
          <w:highlight w:val="none"/>
          <w:lang w:val="en-US" w:eastAsia="zh-CN" w:bidi="ar-SA"/>
        </w:rPr>
      </w:pPr>
      <w:r>
        <w:rPr>
          <w:rFonts w:hint="eastAsia" w:ascii="Times New Roman" w:hAnsi="Times New Roman" w:eastAsia="仿宋_GB2312" w:cs="Times New Roman"/>
          <w:color w:val="auto"/>
          <w:sz w:val="28"/>
          <w:highlight w:val="none"/>
          <w:lang w:val="en-US" w:eastAsia="zh-CN"/>
        </w:rPr>
        <w:t>联系方式（现场踏勘）：010-67412260</w:t>
      </w:r>
      <w:r>
        <w:rPr>
          <w:rFonts w:hint="default" w:ascii="Times New Roman" w:hAnsi="Times New Roman" w:eastAsia="仿宋_GB2312" w:cs="Times New Roman"/>
          <w:color w:val="auto"/>
          <w:kern w:val="2"/>
          <w:sz w:val="28"/>
          <w:szCs w:val="24"/>
          <w:highlight w:val="none"/>
          <w:lang w:val="en-US" w:eastAsia="zh-CN" w:bidi="ar-SA"/>
        </w:rPr>
        <w:t>。</w:t>
      </w:r>
    </w:p>
    <w:p>
      <w:pPr>
        <w:spacing w:line="240" w:lineRule="auto"/>
        <w:ind w:right="-108" w:firstLine="560"/>
        <w:jc w:val="left"/>
        <w:rPr>
          <w:rFonts w:hint="default" w:ascii="Times New Roman" w:hAnsi="Times New Roman" w:eastAsia="仿宋_GB2312" w:cs="Times New Roman"/>
          <w:color w:val="auto"/>
          <w:sz w:val="28"/>
          <w:highlight w:val="none"/>
        </w:rPr>
      </w:pPr>
    </w:p>
    <w:p>
      <w:pPr>
        <w:wordWrap w:val="0"/>
        <w:spacing w:line="240" w:lineRule="auto"/>
        <w:jc w:val="righ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北京市规划和自然资源委员会</w:t>
      </w:r>
      <w:r>
        <w:rPr>
          <w:rFonts w:hint="default" w:ascii="Times New Roman" w:hAnsi="Times New Roman" w:eastAsia="仿宋_GB2312" w:cs="Times New Roman"/>
          <w:color w:val="auto"/>
          <w:sz w:val="28"/>
          <w:highlight w:val="none"/>
          <w:lang w:val="en-US"/>
        </w:rPr>
        <w:t xml:space="preserve">  </w:t>
      </w:r>
    </w:p>
    <w:p>
      <w:pPr>
        <w:wordWrap w:val="0"/>
        <w:spacing w:line="240" w:lineRule="auto"/>
        <w:jc w:val="right"/>
      </w:pP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30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59F8"/>
    <w:rsid w:val="020D02AA"/>
    <w:rsid w:val="02962A13"/>
    <w:rsid w:val="13CA01B3"/>
    <w:rsid w:val="15C309B9"/>
    <w:rsid w:val="2B834932"/>
    <w:rsid w:val="4EBC209D"/>
    <w:rsid w:val="54F26182"/>
    <w:rsid w:val="72013169"/>
    <w:rsid w:val="7D2D48A4"/>
    <w:rsid w:val="7FCF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2022-09-26T10:01:00Z</dcterms:created>
  <dc:creator>lenovo</dc:creator>
  <cp:lastModifiedBy>刘新伟</cp:lastModifiedBy>
  <dcterms:modified xsi:type="dcterms:W3CDTF">2024-09-29T08:31:22Z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EADE639B2D564872B9576F63E9BCD5CD</vt:lpwstr>
  </property>
</Properties>
</file>